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  <w:bookmarkStart w:id="0" w:name="_GoBack"/>
      <w:bookmarkEnd w:id="0"/>
    </w:p>
    <w:p w:rsidR="009F6F13" w:rsidRPr="00154C93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</w:t>
      </w:r>
      <w:r w:rsidR="00154C93">
        <w:rPr>
          <w:b/>
        </w:rPr>
        <w:t xml:space="preserve">: </w:t>
      </w:r>
      <w:r w:rsidR="008A1DB7" w:rsidRPr="000878D0">
        <w:rPr>
          <w:b/>
        </w:rPr>
        <w:t>Jednoděložné rostliny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 xml:space="preserve">: </w:t>
      </w:r>
      <w:r w:rsidR="001F362D" w:rsidRPr="000878D0">
        <w:rPr>
          <w:b/>
        </w:rPr>
        <w:t>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476AAD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Pr="00154C93">
        <w:t xml:space="preserve">: </w:t>
      </w:r>
      <w:r w:rsidR="00167747" w:rsidRPr="00154C93">
        <w:t>1</w:t>
      </w:r>
      <w:r w:rsidR="001F362D" w:rsidRPr="001F362D">
        <w:rPr>
          <w:b/>
        </w:rPr>
        <w:t>_</w:t>
      </w:r>
      <w:r w:rsidR="00F7379C">
        <w:t>Biologie nebuněčných</w:t>
      </w:r>
      <w:r w:rsidR="00154C93">
        <w:t xml:space="preserve">, prokaryot, rostlin a hub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34398">
        <w:t>19</w:t>
      </w:r>
      <w:r w:rsidR="00476AAD">
        <w:t xml:space="preserve">        </w:t>
      </w:r>
      <w:r w:rsidR="00F7379C">
        <w:t xml:space="preserve">Předmět: </w:t>
      </w:r>
      <w:r w:rsidR="00476AAD">
        <w:t>b</w:t>
      </w:r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723251">
        <w:t>27.09</w:t>
      </w:r>
      <w:r w:rsidR="001F362D">
        <w:t>.2013</w:t>
      </w:r>
      <w:r w:rsidR="00CF12EC">
        <w:t xml:space="preserve">    </w:t>
      </w:r>
      <w:r>
        <w:t>Třída:</w:t>
      </w:r>
      <w:r w:rsidR="00163029">
        <w:tab/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1C6252" w:rsidRDefault="00E602AA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573E6" w:rsidRDefault="00B51BE0" w:rsidP="00A573E6">
      <w:pPr>
        <w:pStyle w:val="Bezmezer"/>
      </w:pPr>
      <w:r>
        <w:t>Výukový materiál</w:t>
      </w:r>
      <w:r w:rsidR="00167747">
        <w:t xml:space="preserve"> </w:t>
      </w:r>
      <w:r>
        <w:t>slouží jako podpora k výuce</w:t>
      </w:r>
      <w:r w:rsidR="0043315C">
        <w:t xml:space="preserve"> systematické botaniky</w:t>
      </w:r>
      <w:r w:rsidR="00A573E6"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54C93" w:rsidRPr="00154C93" w:rsidRDefault="008A1DB7" w:rsidP="00154C93">
      <w:pPr>
        <w:pStyle w:val="Bezmezer"/>
      </w:pPr>
      <w:r>
        <w:t>Čeledi: liliovité, amarylkovité, žabníkovité, vstavačovité, lipnicovité, arekovité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287B16" w:rsidRDefault="008A1DB7" w:rsidP="00DC22FE">
      <w:pPr>
        <w:pStyle w:val="Bezmezer"/>
        <w:jc w:val="both"/>
      </w:pPr>
      <w:r>
        <w:t xml:space="preserve">Materiál je určen pro základní charakteristiku vybraných čeledí jednoděložných rostlin. Je určen pro třídy, kde se berou základy systematické botaniky. Vyučující může charakteristiku jednotlivých čeledí rozšířit charakteristikou vybraných zástupců čeledí. </w:t>
      </w:r>
      <w:r w:rsidR="00287B16">
        <w:t>Materiál lze využít i pro samostatné opakování v rámci přípravy na vyučování.</w:t>
      </w:r>
    </w:p>
    <w:p w:rsidR="00287B16" w:rsidRDefault="00287B16" w:rsidP="00CF12EC">
      <w:pPr>
        <w:jc w:val="both"/>
      </w:pPr>
    </w:p>
    <w:p w:rsidR="00F07BC4" w:rsidRDefault="00B51BE0" w:rsidP="00CF12EC">
      <w:pPr>
        <w:jc w:val="both"/>
      </w:pPr>
      <w:r>
        <w:t>Č</w:t>
      </w:r>
      <w:r w:rsidR="00CE3096">
        <w:t xml:space="preserve">asová náročnost: </w:t>
      </w:r>
      <w:r w:rsidR="00AF46C9">
        <w:t xml:space="preserve">cca </w:t>
      </w:r>
      <w:r w:rsidR="008A1DB7">
        <w:t>30</w:t>
      </w:r>
      <w:r w:rsidR="00154C93">
        <w:t xml:space="preserve"> minut</w:t>
      </w:r>
    </w:p>
    <w:p w:rsidR="00DB1D49" w:rsidRDefault="00DB1D49" w:rsidP="009F6F13"/>
    <w:p w:rsidR="008A1DB7" w:rsidRPr="008A1DB7" w:rsidRDefault="00623F17" w:rsidP="008A1DB7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B51BE0">
        <w:rPr>
          <w:b/>
        </w:rPr>
        <w:t>:</w:t>
      </w:r>
    </w:p>
    <w:p w:rsidR="008A1DB7" w:rsidRPr="008A1DB7" w:rsidRDefault="008A1DB7" w:rsidP="008A1DB7">
      <w:pPr>
        <w:autoSpaceDE w:val="0"/>
        <w:autoSpaceDN w:val="0"/>
        <w:adjustRightInd w:val="0"/>
        <w:rPr>
          <w:color w:val="000000" w:themeColor="text1"/>
        </w:rPr>
      </w:pPr>
      <w:r w:rsidRPr="008A1DB7">
        <w:rPr>
          <w:color w:val="000000" w:themeColor="text1"/>
        </w:rPr>
        <w:t xml:space="preserve">JENÍK, J. a kol. </w:t>
      </w:r>
      <w:r w:rsidRPr="008A1DB7">
        <w:rPr>
          <w:i/>
          <w:iCs/>
          <w:color w:val="000000" w:themeColor="text1"/>
        </w:rPr>
        <w:t>Botanika pro II. ročník gymnázií.</w:t>
      </w:r>
      <w:r w:rsidRPr="008A1DB7">
        <w:rPr>
          <w:color w:val="000000" w:themeColor="text1"/>
        </w:rPr>
        <w:t xml:space="preserve"> SPN Praha 1965</w:t>
      </w:r>
    </w:p>
    <w:p w:rsidR="008A1DB7" w:rsidRDefault="008A1DB7" w:rsidP="008A1DB7">
      <w:pPr>
        <w:autoSpaceDE w:val="0"/>
        <w:autoSpaceDN w:val="0"/>
        <w:adjustRightInd w:val="0"/>
        <w:rPr>
          <w:color w:val="000000" w:themeColor="text1"/>
        </w:rPr>
      </w:pPr>
      <w:r w:rsidRPr="008A1DB7">
        <w:rPr>
          <w:color w:val="000000" w:themeColor="text1"/>
        </w:rPr>
        <w:t xml:space="preserve">KUBÁT, K. </w:t>
      </w:r>
      <w:r w:rsidRPr="008A1DB7">
        <w:rPr>
          <w:i/>
          <w:iCs/>
          <w:color w:val="000000" w:themeColor="text1"/>
        </w:rPr>
        <w:t xml:space="preserve">Botanika. </w:t>
      </w:r>
      <w:r w:rsidRPr="008A1DB7">
        <w:rPr>
          <w:color w:val="000000" w:themeColor="text1"/>
        </w:rPr>
        <w:t>Scientia, spol. s r. o., pedagogické nakladatelství Praha 2003</w:t>
      </w:r>
    </w:p>
    <w:p w:rsidR="00AF46C9" w:rsidRPr="008A1DB7" w:rsidRDefault="00E602AA" w:rsidP="008A1DB7">
      <w:pPr>
        <w:autoSpaceDE w:val="0"/>
        <w:autoSpaceDN w:val="0"/>
        <w:adjustRightInd w:val="0"/>
        <w:rPr>
          <w:color w:val="000000" w:themeColor="text1"/>
        </w:rPr>
      </w:pPr>
      <w:hyperlink r:id="rId8" w:history="1">
        <w:r w:rsidR="00AF46C9" w:rsidRPr="00171144">
          <w:rPr>
            <w:rStyle w:val="Hypertextovodkaz"/>
          </w:rPr>
          <w:t>http://cs.wikipedia.org/wiki/Soubor:%C3%84hrchen_Roggen.JPG</w:t>
        </w:r>
      </w:hyperlink>
      <w:r w:rsidR="00AF46C9">
        <w:rPr>
          <w:color w:val="000000" w:themeColor="text1"/>
        </w:rPr>
        <w:t xml:space="preserve"> </w:t>
      </w:r>
    </w:p>
    <w:p w:rsidR="008A1DB7" w:rsidRPr="008A1DB7" w:rsidRDefault="008A1DB7" w:rsidP="008A1DB7">
      <w:pPr>
        <w:autoSpaceDE w:val="0"/>
        <w:autoSpaceDN w:val="0"/>
        <w:adjustRightInd w:val="0"/>
        <w:rPr>
          <w:color w:val="000000" w:themeColor="text1"/>
        </w:rPr>
      </w:pPr>
      <w:r w:rsidRPr="008A1DB7">
        <w:rPr>
          <w:color w:val="000000" w:themeColor="text1"/>
        </w:rPr>
        <w:t>SMART Notebook 11, Lesson Activity Toolkit</w:t>
      </w:r>
    </w:p>
    <w:p w:rsidR="008360DB" w:rsidRPr="008A1DB7" w:rsidRDefault="008360DB" w:rsidP="008360DB">
      <w:pPr>
        <w:autoSpaceDE w:val="0"/>
        <w:autoSpaceDN w:val="0"/>
        <w:adjustRightInd w:val="0"/>
        <w:rPr>
          <w:color w:val="000000" w:themeColor="text1"/>
        </w:rPr>
      </w:pPr>
      <w:r w:rsidRPr="008A1DB7">
        <w:rPr>
          <w:color w:val="000000" w:themeColor="text1"/>
        </w:rPr>
        <w:t>fotografie: autor DUM</w:t>
      </w:r>
    </w:p>
    <w:p w:rsidR="00B51BE0" w:rsidRPr="00B51BE0" w:rsidRDefault="00AF46C9" w:rsidP="00EA5610">
      <w:pPr>
        <w:spacing w:before="240" w:line="360" w:lineRule="auto"/>
        <w:rPr>
          <w:noProof/>
        </w:rPr>
      </w:pPr>
      <w:r>
        <w:rPr>
          <w:noProof/>
        </w:rPr>
        <w:t>Poznámky: ---</w:t>
      </w:r>
    </w:p>
    <w:sectPr w:rsidR="00B51BE0" w:rsidRPr="00B51BE0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057" w:rsidRDefault="00BA5057">
      <w:r>
        <w:separator/>
      </w:r>
    </w:p>
  </w:endnote>
  <w:endnote w:type="continuationSeparator" w:id="0">
    <w:p w:rsidR="00BA5057" w:rsidRDefault="00BA5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14" w:rsidRDefault="009D771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14" w:rsidRDefault="009D771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057" w:rsidRDefault="00BA5057">
      <w:r>
        <w:separator/>
      </w:r>
    </w:p>
  </w:footnote>
  <w:footnote w:type="continuationSeparator" w:id="0">
    <w:p w:rsidR="00BA5057" w:rsidRDefault="00BA5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14" w:rsidRDefault="009D771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9D7714">
      <w:rPr>
        <w:bCs/>
      </w:rPr>
      <w:t>34.</w:t>
    </w:r>
    <w:r>
      <w:rPr>
        <w:bCs/>
      </w:rPr>
      <w:t>0325</w:t>
    </w:r>
  </w:p>
  <w:p w:rsidR="00356EB4" w:rsidRPr="00745A98" w:rsidRDefault="00E602A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E602AA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14" w:rsidRDefault="009D771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64EA5"/>
    <w:rsid w:val="000878D0"/>
    <w:rsid w:val="000A48C9"/>
    <w:rsid w:val="000B2930"/>
    <w:rsid w:val="000C1FE7"/>
    <w:rsid w:val="000C3E7E"/>
    <w:rsid w:val="000E29CB"/>
    <w:rsid w:val="0010546B"/>
    <w:rsid w:val="00154C93"/>
    <w:rsid w:val="00163029"/>
    <w:rsid w:val="00167747"/>
    <w:rsid w:val="001A6A4C"/>
    <w:rsid w:val="001C6252"/>
    <w:rsid w:val="001D2455"/>
    <w:rsid w:val="001F1A08"/>
    <w:rsid w:val="001F362D"/>
    <w:rsid w:val="0022687A"/>
    <w:rsid w:val="00232FB1"/>
    <w:rsid w:val="0028489E"/>
    <w:rsid w:val="00287B16"/>
    <w:rsid w:val="00290C19"/>
    <w:rsid w:val="00297870"/>
    <w:rsid w:val="002A290B"/>
    <w:rsid w:val="002A5BAC"/>
    <w:rsid w:val="002B506F"/>
    <w:rsid w:val="002C4503"/>
    <w:rsid w:val="003021FB"/>
    <w:rsid w:val="00307242"/>
    <w:rsid w:val="0033262C"/>
    <w:rsid w:val="0034544A"/>
    <w:rsid w:val="00353FD9"/>
    <w:rsid w:val="00356EB4"/>
    <w:rsid w:val="0036718C"/>
    <w:rsid w:val="00371ACF"/>
    <w:rsid w:val="003761B0"/>
    <w:rsid w:val="003835AF"/>
    <w:rsid w:val="00394D93"/>
    <w:rsid w:val="003A5AD6"/>
    <w:rsid w:val="003C23E7"/>
    <w:rsid w:val="003E4C3B"/>
    <w:rsid w:val="003E63C0"/>
    <w:rsid w:val="003F4DE8"/>
    <w:rsid w:val="00413280"/>
    <w:rsid w:val="0042348A"/>
    <w:rsid w:val="0043315C"/>
    <w:rsid w:val="00434610"/>
    <w:rsid w:val="00445D3A"/>
    <w:rsid w:val="004621BF"/>
    <w:rsid w:val="0046688E"/>
    <w:rsid w:val="00471A18"/>
    <w:rsid w:val="00476AAD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23251"/>
    <w:rsid w:val="00745A98"/>
    <w:rsid w:val="00745C90"/>
    <w:rsid w:val="007659FE"/>
    <w:rsid w:val="00771703"/>
    <w:rsid w:val="0078067C"/>
    <w:rsid w:val="00795F8D"/>
    <w:rsid w:val="007C424F"/>
    <w:rsid w:val="007C52F1"/>
    <w:rsid w:val="007F02F7"/>
    <w:rsid w:val="007F06C8"/>
    <w:rsid w:val="00801324"/>
    <w:rsid w:val="00812228"/>
    <w:rsid w:val="0082351D"/>
    <w:rsid w:val="00823D1E"/>
    <w:rsid w:val="008360DB"/>
    <w:rsid w:val="008725F1"/>
    <w:rsid w:val="008A1DB7"/>
    <w:rsid w:val="008B084D"/>
    <w:rsid w:val="008B5602"/>
    <w:rsid w:val="008F1D94"/>
    <w:rsid w:val="009178A2"/>
    <w:rsid w:val="00930B79"/>
    <w:rsid w:val="00932CAB"/>
    <w:rsid w:val="00973A79"/>
    <w:rsid w:val="009D7714"/>
    <w:rsid w:val="009E6D09"/>
    <w:rsid w:val="009E736F"/>
    <w:rsid w:val="009F240C"/>
    <w:rsid w:val="009F6F13"/>
    <w:rsid w:val="00A32C1A"/>
    <w:rsid w:val="00A32F88"/>
    <w:rsid w:val="00A573E6"/>
    <w:rsid w:val="00A67905"/>
    <w:rsid w:val="00A739DB"/>
    <w:rsid w:val="00A92398"/>
    <w:rsid w:val="00AE0AB9"/>
    <w:rsid w:val="00AF46C9"/>
    <w:rsid w:val="00B03303"/>
    <w:rsid w:val="00B0784A"/>
    <w:rsid w:val="00B11E31"/>
    <w:rsid w:val="00B121FF"/>
    <w:rsid w:val="00B41045"/>
    <w:rsid w:val="00B43D79"/>
    <w:rsid w:val="00B51BE0"/>
    <w:rsid w:val="00B56690"/>
    <w:rsid w:val="00B64FB6"/>
    <w:rsid w:val="00B73B73"/>
    <w:rsid w:val="00BA4C26"/>
    <w:rsid w:val="00BA5057"/>
    <w:rsid w:val="00BC3C15"/>
    <w:rsid w:val="00C0016A"/>
    <w:rsid w:val="00C067D2"/>
    <w:rsid w:val="00C36394"/>
    <w:rsid w:val="00C43F4C"/>
    <w:rsid w:val="00C61876"/>
    <w:rsid w:val="00C61B2E"/>
    <w:rsid w:val="00C841AF"/>
    <w:rsid w:val="00CB38DA"/>
    <w:rsid w:val="00CC59E8"/>
    <w:rsid w:val="00CE3096"/>
    <w:rsid w:val="00CF12EC"/>
    <w:rsid w:val="00CF24A3"/>
    <w:rsid w:val="00D04ABB"/>
    <w:rsid w:val="00D575E3"/>
    <w:rsid w:val="00D62716"/>
    <w:rsid w:val="00D65D2B"/>
    <w:rsid w:val="00DA2044"/>
    <w:rsid w:val="00DB1D49"/>
    <w:rsid w:val="00DB726E"/>
    <w:rsid w:val="00DC22FE"/>
    <w:rsid w:val="00DE605A"/>
    <w:rsid w:val="00E12C07"/>
    <w:rsid w:val="00E602AA"/>
    <w:rsid w:val="00E85A23"/>
    <w:rsid w:val="00E9089C"/>
    <w:rsid w:val="00E95867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21BB5"/>
    <w:rsid w:val="00F34398"/>
    <w:rsid w:val="00F456CA"/>
    <w:rsid w:val="00F53F71"/>
    <w:rsid w:val="00F73128"/>
    <w:rsid w:val="00F7379C"/>
    <w:rsid w:val="00F77E1C"/>
    <w:rsid w:val="00F87A36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oubor:%C3%84hrchen_Roggen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29</TotalTime>
  <Pages>1</Pages>
  <Words>161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1464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12</cp:revision>
  <cp:lastPrinted>1900-12-31T23:00:00Z</cp:lastPrinted>
  <dcterms:created xsi:type="dcterms:W3CDTF">2013-10-29T11:54:00Z</dcterms:created>
  <dcterms:modified xsi:type="dcterms:W3CDTF">2014-05-05T13:03:00Z</dcterms:modified>
</cp:coreProperties>
</file>